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526" w:rsidRPr="0031782C" w:rsidRDefault="00EA3526" w:rsidP="00EA3526">
      <w:pPr>
        <w:shd w:val="clear" w:color="auto" w:fill="FFFFFF"/>
        <w:tabs>
          <w:tab w:val="left" w:leader="underscore" w:pos="9019"/>
        </w:tabs>
        <w:suppressAutoHyphens/>
        <w:spacing w:before="48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16"/>
          <w:sz w:val="28"/>
          <w:szCs w:val="28"/>
          <w:lang w:eastAsia="ru-RU"/>
        </w:rPr>
      </w:pPr>
      <w:bookmarkStart w:id="0" w:name="_GoBack"/>
      <w:r w:rsidRPr="0031782C">
        <w:rPr>
          <w:rFonts w:ascii="Times New Roman" w:eastAsia="Times New Roman" w:hAnsi="Times New Roman" w:cs="Times New Roman"/>
          <w:b/>
          <w:spacing w:val="-16"/>
          <w:sz w:val="28"/>
          <w:szCs w:val="28"/>
          <w:lang w:eastAsia="ru-RU"/>
        </w:rPr>
        <w:t>ПОЯСНИТЕЛЬНАЯ ЗАПИСКА</w:t>
      </w:r>
    </w:p>
    <w:p w:rsidR="00EA3526" w:rsidRPr="0031782C" w:rsidRDefault="00EA3526" w:rsidP="00EA3526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к докладу главы администрации муниципального образования</w:t>
      </w:r>
    </w:p>
    <w:p w:rsidR="00EA3526" w:rsidRPr="0031782C" w:rsidRDefault="00EA3526" w:rsidP="00EA3526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о достигнутых значениях показателей для оценки эффективности</w:t>
      </w:r>
    </w:p>
    <w:p w:rsidR="00EA3526" w:rsidRPr="0031782C" w:rsidRDefault="00EA3526" w:rsidP="00EA3526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>деятельности Нагорского муниципального района</w:t>
      </w:r>
      <w:r w:rsidRPr="003178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за 2024 год</w:t>
      </w:r>
    </w:p>
    <w:p w:rsidR="00EA3526" w:rsidRPr="0031782C" w:rsidRDefault="00EA3526" w:rsidP="00EA3526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и их планируемых значениях на 3-летний период</w:t>
      </w:r>
    </w:p>
    <w:p w:rsidR="00EA3526" w:rsidRPr="0031782C" w:rsidRDefault="00EA3526" w:rsidP="00EA352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EA3526" w:rsidRPr="0031782C" w:rsidRDefault="00EA3526" w:rsidP="00EA352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Географическое положение.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расположен в северо-восточной части Кировской области. На севере граничит с республикой Коми, с востока – Верхнекамским, с юга –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Белохолуницким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Слободским районами, с запада – Слободским районом и республикой Коми. Расстояние от районного центра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Нагорск до областного центра г. Киров </w:t>
      </w:r>
      <w:smartTag w:uri="urn:schemas-microsoft-com:office:smarttags" w:element="metricconverter">
        <w:smartTagPr>
          <w:attr w:name="ProductID" w:val="130 км"/>
        </w:smartTagPr>
        <w:r w:rsidRPr="003178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130 км</w:t>
        </w:r>
      </w:smartTag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Площадь района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7235,78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кв.км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составляет 6% площади Кировской области. 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A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A" w:hAnsi="Times New Roman" w:cs="Times New Roman"/>
          <w:sz w:val="28"/>
          <w:szCs w:val="28"/>
          <w:lang w:eastAsia="ru-RU"/>
        </w:rPr>
        <w:t xml:space="preserve">Среднегодовая </w:t>
      </w:r>
      <w:r w:rsidRPr="0031782C">
        <w:rPr>
          <w:rFonts w:ascii="Times New Roman" w:eastAsia="A" w:hAnsi="Times New Roman" w:cs="Times New Roman"/>
          <w:b/>
          <w:sz w:val="28"/>
          <w:szCs w:val="28"/>
          <w:lang w:eastAsia="ru-RU"/>
        </w:rPr>
        <w:t>численность населения</w:t>
      </w:r>
      <w:r w:rsidRPr="0031782C">
        <w:rPr>
          <w:rFonts w:ascii="Times New Roman" w:eastAsia="A" w:hAnsi="Times New Roman" w:cs="Times New Roman"/>
          <w:sz w:val="28"/>
          <w:szCs w:val="28"/>
          <w:lang w:eastAsia="ru-RU"/>
        </w:rPr>
        <w:t xml:space="preserve"> за 2024 год составила 6126 человек.</w:t>
      </w:r>
    </w:p>
    <w:p w:rsidR="00EA3526" w:rsidRPr="0031782C" w:rsidRDefault="00EA3526" w:rsidP="00EA3526">
      <w:pPr>
        <w:tabs>
          <w:tab w:val="right" w:pos="1006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сферы деятельности населения.</w:t>
      </w:r>
    </w:p>
    <w:p w:rsidR="00EA3526" w:rsidRPr="0031782C" w:rsidRDefault="00EA3526" w:rsidP="00EA3526">
      <w:pPr>
        <w:tabs>
          <w:tab w:val="left" w:pos="5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A" w:hAnsi="Times New Roman" w:cs="Times New Roman"/>
          <w:b/>
          <w:sz w:val="28"/>
          <w:szCs w:val="28"/>
          <w:lang w:eastAsia="ru-RU"/>
        </w:rPr>
        <w:t>В п</w:t>
      </w: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ромышленности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занято 16,9% работающего населения района, создается 92% валового продукта. Промышленный потенциал формируют предприятия, занимающиеся обработкой древесины и производством изделий из дерева, производством и распределением электроэнергии, воды. В структуре промышленного производства доминирующее положение занимают обработка древесины и производство изделий из дерева (93,7% общего объема). Производство пищевых продуктов, включая напитки, представлено четырьмя хозяйствующими субъектами. Основные виды деятельности – производство хлеба, хлебобулочных и кондитерских изделий, а также безалкогольной продукции. 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Сельское хозяйство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Нагорском районе слабо развито ввиду географического положения муниципального образования (территория района относится к северной агроклиматической зоне Кировской области).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году в районе осуществляли деятельность одно сельскохозяйственное предприятие – ООО «СПК Заря», одно крестьянское (фермерское) хозяйство «Марал» (ИП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Дударева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Л.Н.) и 1682 личных подсобных хозяйства. Сельскохозяйственное предприятие ООО «СПК Заря» специализируется на производстве молока и мяса крупного рогатого скота, производством зерновых культур, а также на заготовке древесины. Предприятие имеет арендные участки леса.</w:t>
      </w:r>
    </w:p>
    <w:p w:rsidR="00EA3526" w:rsidRPr="0031782C" w:rsidRDefault="00EA3526" w:rsidP="00EA352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потребительского рынка и услуг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одна из важнейших отраслей экономики. В районе в настоящее время функционирует 15 предприятий и 27 предпринимателей</w:t>
      </w:r>
      <w:r w:rsidRPr="0031782C">
        <w:rPr>
          <w:rFonts w:ascii="Times New Roman" w:eastAsia="A" w:hAnsi="Times New Roman" w:cs="Times New Roman"/>
          <w:sz w:val="28"/>
          <w:szCs w:val="28"/>
          <w:lang w:eastAsia="ru-RU"/>
        </w:rPr>
        <w:t xml:space="preserve"> отрасли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торговли</w:t>
      </w:r>
      <w:r w:rsidRPr="0031782C">
        <w:rPr>
          <w:rFonts w:ascii="Times New Roman" w:eastAsia="A" w:hAnsi="Times New Roman" w:cs="Times New Roman"/>
          <w:sz w:val="28"/>
          <w:szCs w:val="28"/>
          <w:lang w:eastAsia="ru-RU"/>
        </w:rPr>
        <w:t xml:space="preserve"> и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общественного питания, а также универсальная ярмарка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Нагорск</w:t>
      </w:r>
      <w:r w:rsidRPr="0031782C">
        <w:rPr>
          <w:rFonts w:ascii="Times New Roman" w:eastAsia="A" w:hAnsi="Times New Roman" w:cs="Times New Roman"/>
          <w:sz w:val="28"/>
          <w:szCs w:val="28"/>
          <w:lang w:eastAsia="ru-RU"/>
        </w:rPr>
        <w:t>.</w:t>
      </w:r>
    </w:p>
    <w:p w:rsidR="00EA3526" w:rsidRPr="0031782C" w:rsidRDefault="00EA3526" w:rsidP="00EA3526">
      <w:pPr>
        <w:tabs>
          <w:tab w:val="right" w:pos="1006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 социально - экономического развития: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сохранение и развитие человеческого потенциала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развитие экономического потенциала и повышение эффективности и использования природных ресурсов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Экономическое развитие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Основная специализация </w:t>
      </w:r>
      <w:r w:rsidRPr="003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промышленного</w:t>
      </w: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производства в районе – лесозаготовка и переработка древесины. Лесопромышленный комплекс в районе представлен субъектами малого предпринимательства. 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районе 34 арендатора лесных участков. Годовой объем освоения расчетной лесосеки выполнен на 88,52%, то есть из 954,76 тыс. куб. м фактически освоено 845,19 тыс. куб. м. В 2023 году освоение годовой расчетной лесосеки составляло 75,0%.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A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A" w:hAnsi="Times New Roman" w:cs="Times New Roman"/>
          <w:sz w:val="28"/>
          <w:szCs w:val="28"/>
          <w:lang w:eastAsia="ru-RU"/>
        </w:rPr>
        <w:t>Производство пиломатериалов в целом по району, в том числе у индивидуальных предпринимателей, составило 31,4 тыс. куб. м, что на 0,2 тыс. куб. м меньше, чем в 2023 году.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A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A" w:hAnsi="Times New Roman" w:cs="Times New Roman"/>
          <w:sz w:val="28"/>
          <w:szCs w:val="28"/>
          <w:lang w:eastAsia="ru-RU"/>
        </w:rPr>
        <w:t>По итогам 2024 год оборот организаций в целом по району выразился в сумме 1529,1 млн. руб., что на 25,2 млн. руб. больше 2023 года.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A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A" w:hAnsi="Times New Roman" w:cs="Times New Roman"/>
          <w:sz w:val="28"/>
          <w:szCs w:val="28"/>
          <w:lang w:eastAsia="ru-RU"/>
        </w:rPr>
        <w:t xml:space="preserve">Пищевая промышленность в районе представлена ООО «Нагорский </w:t>
      </w:r>
      <w:proofErr w:type="spellStart"/>
      <w:r w:rsidRPr="0031782C">
        <w:rPr>
          <w:rFonts w:ascii="Times New Roman" w:eastAsia="A" w:hAnsi="Times New Roman" w:cs="Times New Roman"/>
          <w:sz w:val="28"/>
          <w:szCs w:val="28"/>
          <w:lang w:eastAsia="ru-RU"/>
        </w:rPr>
        <w:t>хлебокомбинат</w:t>
      </w:r>
      <w:proofErr w:type="spellEnd"/>
      <w:r w:rsidRPr="0031782C">
        <w:rPr>
          <w:rFonts w:ascii="Times New Roman" w:eastAsia="A" w:hAnsi="Times New Roman" w:cs="Times New Roman"/>
          <w:sz w:val="28"/>
          <w:szCs w:val="28"/>
          <w:lang w:eastAsia="ru-RU"/>
        </w:rPr>
        <w:t>», ООО «</w:t>
      </w:r>
      <w:proofErr w:type="spellStart"/>
      <w:r w:rsidRPr="0031782C">
        <w:rPr>
          <w:rFonts w:ascii="Times New Roman" w:eastAsia="A" w:hAnsi="Times New Roman" w:cs="Times New Roman"/>
          <w:sz w:val="28"/>
          <w:szCs w:val="28"/>
          <w:lang w:eastAsia="ru-RU"/>
        </w:rPr>
        <w:t>Нагорская</w:t>
      </w:r>
      <w:proofErr w:type="spellEnd"/>
      <w:r w:rsidRPr="0031782C">
        <w:rPr>
          <w:rFonts w:ascii="Times New Roman" w:eastAsia="A" w:hAnsi="Times New Roman" w:cs="Times New Roman"/>
          <w:sz w:val="28"/>
          <w:szCs w:val="28"/>
          <w:lang w:eastAsia="ru-RU"/>
        </w:rPr>
        <w:t xml:space="preserve"> КООП», ОАО «</w:t>
      </w:r>
      <w:proofErr w:type="spellStart"/>
      <w:r w:rsidRPr="0031782C">
        <w:rPr>
          <w:rFonts w:ascii="Times New Roman" w:eastAsia="A" w:hAnsi="Times New Roman" w:cs="Times New Roman"/>
          <w:sz w:val="28"/>
          <w:szCs w:val="28"/>
          <w:lang w:eastAsia="ru-RU"/>
        </w:rPr>
        <w:t>Синегорье</w:t>
      </w:r>
      <w:proofErr w:type="spellEnd"/>
      <w:r w:rsidRPr="0031782C">
        <w:rPr>
          <w:rFonts w:ascii="Times New Roman" w:eastAsia="A" w:hAnsi="Times New Roman" w:cs="Times New Roman"/>
          <w:sz w:val="28"/>
          <w:szCs w:val="28"/>
          <w:lang w:eastAsia="ru-RU"/>
        </w:rPr>
        <w:t xml:space="preserve">», ООО «Орион» и ИП </w:t>
      </w:r>
      <w:proofErr w:type="spellStart"/>
      <w:r w:rsidRPr="0031782C">
        <w:rPr>
          <w:rFonts w:ascii="Times New Roman" w:eastAsia="A" w:hAnsi="Times New Roman" w:cs="Times New Roman"/>
          <w:sz w:val="28"/>
          <w:szCs w:val="28"/>
          <w:lang w:eastAsia="ru-RU"/>
        </w:rPr>
        <w:t>Двоеглазова</w:t>
      </w:r>
      <w:proofErr w:type="spellEnd"/>
      <w:r w:rsidRPr="0031782C">
        <w:rPr>
          <w:rFonts w:ascii="Times New Roman" w:eastAsia="A" w:hAnsi="Times New Roman" w:cs="Times New Roman"/>
          <w:sz w:val="28"/>
          <w:szCs w:val="28"/>
          <w:lang w:eastAsia="ru-RU"/>
        </w:rPr>
        <w:t xml:space="preserve"> М.О.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A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A" w:hAnsi="Times New Roman" w:cs="Times New Roman"/>
          <w:sz w:val="28"/>
          <w:szCs w:val="28"/>
          <w:lang w:eastAsia="ru-RU"/>
        </w:rPr>
        <w:t xml:space="preserve">Произведено хлеба и хлебобулочных изделий предприятиями и индивидуальными предпринимателями на сумму 20,2 млн. рублей, что на 5,8 млн. рублей меньше, чем в 2023 году. Необходимо отметить, что в натуральном выражении производство хлеба уменьшилось на 69,8 тонн по отношению к 2023 году. 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малого предпринимательства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важнейших факторов экономического роста, формирования основ политической и социальной стабильности общества.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Всего в сфере малого предпринимательства занято 1157 чел., что составляет 39,2% от численности занятых в экономике.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46 малых предприятиях работает 518 чел., зарегистрировано индивидуальных предпринимателей – 141, занятых по найму у предпринимателей – 497 чел.</w:t>
      </w:r>
    </w:p>
    <w:p w:rsidR="00EA3526" w:rsidRPr="0031782C" w:rsidRDefault="00EA3526" w:rsidP="00EA3526">
      <w:p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Среднемесячная заработная плата у работников малых предприятий составила 27 171,8 руб. (рост 6,6%), у лиц, занятых трудом по найму у индивидуальных предпринимателей – 23 105,3 руб. (рост 6,9%).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Удельный вес налоговых платежей от субъектов малого и среднего предпринимательства в общем объеме налоговых поступлений за 2024 год оценивается в размере 57,1%. От субъектов малого предпринимательства поступило налоговых платежей в сумме 58,2 млн. руб.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инвестиционном направлении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задача органов местного самоуправления – создать условия для привлечения инвестиций в район и, прежде всего, через развитие транспортной инфраструктуры, телефонной связи и телекоммуникаций. Важным в инвестиционном развитии территории является и наличие инвестиционных площадок и проектов, привлекательных для потенциальных инвесторов. 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Инвестиции в основной капитал за 202</w:t>
      </w:r>
      <w:r w:rsidR="00EB007E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составили по крупным и средним предприятиям (по статистической форме П-2) </w:t>
      </w:r>
      <w:r w:rsidR="00C626F7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37,4</w:t>
      </w: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млн.</w:t>
      </w:r>
      <w:r w:rsidR="00597E10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руб., что на </w:t>
      </w:r>
      <w:r w:rsidR="00C626F7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80% выше </w:t>
      </w: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уровн</w:t>
      </w:r>
      <w:r w:rsidR="00C626F7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C626F7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Дороги. </w:t>
      </w: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Основу автодорожной сети составляют дороги 4 и 5 категорий. Общая протяженность дорог составляет 403,6 км. 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острыми проблемами дорожной отрасли остаются высокая степень износа и неудовлетворительное состояние дорог общего пользования местного значения, вызванная многолетним недофинансированием работ по содержанию автомобильных дорог.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Недоремонт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70%.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Недоремонт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автодорог в условиях бурного роста интенсивности транспортных потоков и увеличения массы, используемых при перевозках транспортных средств, приводит к ускорению износа автодорог, необратимым процессам разрушения дорожных конструкций. Не в полном объеме выполняются работы по усилению дорожной одежды, устройству поверхностной обработки, восстановления изношенных покрытий, профиля гравийных и щебеночных покрытий.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районе 27 деревянных мостов, из них 3 низководных моста. Срок эксплуатации деревянных мостов (за исключением низководных) около 7 лет, износ мостов высокой степени, в связи с чем требуется в дальнейшем ремонт и капитальный ремонт мостов с затратами в 20,0 млн. рублей. Затраты на содержание низководных мостов составляют ежегодно около 13,0 млн. рублей.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A" w:hAnsi="Times New Roman" w:cs="Times New Roman"/>
          <w:b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году за счет субсидии из областного бюджета и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бюджета выполнен комплекс мероприятий по содержанию автомобильных дорог общего пользования местного значения и искусственных сооружений на них на сумму 89,6 млн. руб.</w:t>
      </w:r>
    </w:p>
    <w:p w:rsidR="00EA3526" w:rsidRPr="0031782C" w:rsidRDefault="00EA3526" w:rsidP="00EA3526">
      <w:pPr>
        <w:suppressAutoHyphens/>
        <w:spacing w:after="480" w:line="240" w:lineRule="auto"/>
        <w:ind w:firstLine="709"/>
        <w:jc w:val="both"/>
        <w:rPr>
          <w:rFonts w:ascii="Times New Roman" w:eastAsia="A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A" w:hAnsi="Times New Roman" w:cs="Times New Roman"/>
          <w:b/>
          <w:sz w:val="28"/>
          <w:szCs w:val="28"/>
          <w:lang w:eastAsia="ru-RU"/>
        </w:rPr>
        <w:t>Средняя заработная плата</w:t>
      </w:r>
      <w:r w:rsidRPr="0031782C">
        <w:rPr>
          <w:rFonts w:ascii="Times New Roman" w:eastAsia="A" w:hAnsi="Times New Roman" w:cs="Times New Roman"/>
          <w:sz w:val="28"/>
          <w:szCs w:val="28"/>
          <w:lang w:eastAsia="ru-RU"/>
        </w:rPr>
        <w:t xml:space="preserve"> в крупных предприятиях и учреждениях (по форме П-4) за 2024 год по району возросла на 14,7% и составила 44 270,2 руб.</w:t>
      </w:r>
    </w:p>
    <w:p w:rsidR="00EA3526" w:rsidRPr="0031782C" w:rsidRDefault="00EA3526" w:rsidP="00EA3526">
      <w:pPr>
        <w:suppressAutoHyphens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Пояснения показателей.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Показатель №1 «Число субъектов малого и среднего предпринимательства в расчете на 10 тыс. человек населения»</w:t>
      </w:r>
    </w:p>
    <w:p w:rsidR="0031782C" w:rsidRPr="0031782C" w:rsidRDefault="00EA3526" w:rsidP="0031782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федерального Единого реестра СМП на 01.01.202</w:t>
      </w:r>
      <w:r w:rsidR="009E2B52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597E10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 в районе малых предприятий и ИП 18</w:t>
      </w:r>
      <w:r w:rsidR="009E2B52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proofErr w:type="gramStart"/>
      <w:r w:rsidR="0031782C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6,</w:t>
      </w:r>
      <w:r w:rsidR="009E2B52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126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Х 10 =</w:t>
      </w:r>
      <w:r w:rsidR="009E2B52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303,7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3526" w:rsidRPr="0031782C" w:rsidRDefault="0031782C" w:rsidP="0031782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увеличился с 202</w:t>
      </w:r>
      <w:r w:rsidR="009E2B52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597E10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снижения численности населения на  </w:t>
      </w:r>
      <w:r w:rsidR="009E2B52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99</w:t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</w:p>
    <w:p w:rsidR="0031782C" w:rsidRPr="0031782C" w:rsidRDefault="0031782C" w:rsidP="0031782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Показатель №2 «Доля среднесписочной численности работников (без внешних совместителей) малых и средних предприятии в среднеспи</w:t>
      </w:r>
      <w:r w:rsidR="0031782C"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сочной численности работников (</w:t>
      </w: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 внешних совместителей) всех предприятий и организаций»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0118" w:rsidRPr="0031782C" w:rsidRDefault="00B90118" w:rsidP="00B9011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год. 449</w:t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–</w:t>
      </w:r>
      <w:r w:rsidR="00597E10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численность в малых предприятиях. Расчет: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449</w:t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: (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449</w:t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+ 10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П-4)</w:t>
      </w:r>
      <w:r w:rsidR="0031782C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= 3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0,9</w:t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31782C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- 3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3,6</w:t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</w:t>
      </w:r>
    </w:p>
    <w:p w:rsidR="00EA3526" w:rsidRPr="0031782C" w:rsidRDefault="00EA3526" w:rsidP="00B9011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B90118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численность работников в малых предприятиях у</w:t>
      </w:r>
      <w:r w:rsidR="00B90118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меньшилась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B90118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</w:p>
    <w:p w:rsidR="0031782C" w:rsidRPr="0031782C" w:rsidRDefault="0031782C" w:rsidP="00B9011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Показатель № 3 «Объем инвестиций в основной капитал (за исключением бюджетных средств) в расчете на 1 жителя» 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 году – 619,4 руб. на 1 жителя, в 2024 году – 1106,9 руб. на 1 жителя. 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Расчет:</w:t>
      </w:r>
    </w:p>
    <w:p w:rsidR="00EA3526" w:rsidRPr="0031782C" w:rsidRDefault="0031782C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6780869,00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6126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=1106,9 руб.</m:t>
          </m:r>
        </m:oMath>
      </m:oMathPara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6126 – среднегодовая численность населения за 2024 год.</w:t>
      </w:r>
    </w:p>
    <w:p w:rsidR="00EA3526" w:rsidRPr="0031782C" w:rsidRDefault="00EA3526" w:rsidP="00EA3526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с 2023 года в 1,8 раза. В 2024 году значительные вложения инвестиций осуществлял</w:t>
      </w:r>
      <w:proofErr w:type="gram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6477AE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</w:t>
      </w:r>
      <w:proofErr w:type="gramEnd"/>
      <w:r w:rsidR="006477AE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«Агроторг»</w:t>
      </w:r>
      <w:r w:rsidR="00C04804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 </w:t>
      </w:r>
      <w:r w:rsidR="006477AE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произвели замену оборудования в магазине «Пятерочка», а также реконструкцию помещения. Кроме того</w:t>
      </w:r>
      <w:r w:rsidR="00C04804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 лесозаготовительной отрасли приобре</w:t>
      </w:r>
      <w:r w:rsidR="006477AE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транспортны</w:t>
      </w:r>
      <w:r w:rsidR="006477AE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</w:t>
      </w:r>
      <w:r w:rsidR="006477AE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лесопильны</w:t>
      </w:r>
      <w:r w:rsidR="006477AE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станк</w:t>
      </w:r>
      <w:r w:rsidR="006477AE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Показатель № 4 «Доля площади земельных участков, являющихся объектами налогообложения земельным налогом, в общей площади территории городского округа (муниципального района)»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2024 год – 4,14%.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01.01.2025 по данным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1782C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осре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естра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площадь муниципального района составляет 723578 га.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Земли в собственности граждан – 29975 га.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526" w:rsidRPr="0031782C" w:rsidRDefault="0031782C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29975 га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723578 га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×100%=4,14% </m:t>
          </m:r>
        </m:oMath>
      </m:oMathPara>
    </w:p>
    <w:p w:rsidR="00EA3526" w:rsidRPr="0031782C" w:rsidRDefault="00EA3526" w:rsidP="00EA352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Показатель № 7 «Доля населения, проживающего в населенных пунктах, не имеющих регулярного автобусного и (или) железнодорожного сообщения с административным центром городского округа (муниципального района), в общей численности населения городского округа (муниципального района)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2023 год – 8,8%, за 2024 год – 27,31%. Увеличение с 2023 года в 3 раза.</w:t>
      </w:r>
    </w:p>
    <w:p w:rsidR="00EA3526" w:rsidRPr="0031782C" w:rsidRDefault="00EA3526" w:rsidP="00EA35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 увеличения: в 2024 году неоднократно проводился аукцион на оказание услуг по перевозке пассажиров, в связи с тем, что заявки на участие в аукционе не поступали, рейсы на межмуниципальном маршруте «Нагорск – Орлецы» не осуществлялись.</w:t>
      </w:r>
      <w:r w:rsidR="008D3482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в 2024 году имели регулярное транспортное </w:t>
      </w:r>
      <w:r w:rsidR="008D3482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сообщение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население в: </w:t>
      </w:r>
    </w:p>
    <w:p w:rsidR="00EA3526" w:rsidRPr="0031782C" w:rsidRDefault="00EA3526" w:rsidP="00EA35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Нагорск – 3963 чел., </w:t>
      </w:r>
    </w:p>
    <w:p w:rsidR="00EA3526" w:rsidRPr="0031782C" w:rsidRDefault="00EA3526" w:rsidP="00EA35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Чеглаки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135 чел.,</w:t>
      </w:r>
    </w:p>
    <w:p w:rsidR="00EA3526" w:rsidRPr="0031782C" w:rsidRDefault="00EA3526" w:rsidP="00EA35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Шевырталово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191 чел.,</w:t>
      </w:r>
    </w:p>
    <w:p w:rsidR="00EA3526" w:rsidRPr="0031782C" w:rsidRDefault="00EA3526" w:rsidP="00EA35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Заево – 164 чел., </w:t>
      </w:r>
    </w:p>
    <w:p w:rsidR="00EA3526" w:rsidRPr="0031782C" w:rsidRDefault="00EA3526" w:rsidP="00EA35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Итого – 4453 чел. </w:t>
      </w:r>
    </w:p>
    <w:p w:rsidR="00EA3526" w:rsidRPr="0031782C" w:rsidRDefault="00EA3526" w:rsidP="00EA35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Среднегодовая численность постоянного населения за 2024 год </w:t>
      </w: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6126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человек.</w:t>
      </w:r>
    </w:p>
    <w:p w:rsidR="00EA3526" w:rsidRPr="0031782C" w:rsidRDefault="00EA3526" w:rsidP="00EA35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3526" w:rsidRPr="0031782C" w:rsidRDefault="00EA3526" w:rsidP="00EA3526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6"/>
              <w:szCs w:val="26"/>
              <w:lang w:eastAsia="ru-RU"/>
            </w:rPr>
            <m:t>6126-4453=1673</m:t>
          </m:r>
        </m:oMath>
      </m:oMathPara>
    </w:p>
    <w:p w:rsidR="00EA3526" w:rsidRPr="0031782C" w:rsidRDefault="0031782C" w:rsidP="00EA35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sz w:val="26"/>
                  <w:szCs w:val="26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eastAsia="ru-RU"/>
                </w:rPr>
                <m:t>1673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eastAsia="ru-RU"/>
                </w:rPr>
                <m:t>6126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6"/>
              <w:szCs w:val="26"/>
              <w:lang w:eastAsia="ru-RU"/>
            </w:rPr>
            <m:t>×100%=27,31</m:t>
          </m:r>
        </m:oMath>
      </m:oMathPara>
    </w:p>
    <w:p w:rsidR="00B20D45" w:rsidRPr="0031782C" w:rsidRDefault="00B20D45" w:rsidP="00B20D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второй половине 2025г. муниципальный маршрут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«Нагорск – Орлецы» возобновится, т.е. показатель улучшится с 27,31% до 5,4%.</w:t>
      </w:r>
    </w:p>
    <w:p w:rsidR="0031782C" w:rsidRPr="0031782C" w:rsidRDefault="0031782C" w:rsidP="00B20D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526" w:rsidRPr="0031782C" w:rsidRDefault="00EA3526" w:rsidP="00B20D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показателю № 8 «Среднемесячная номинальная начисленная заработная плата работников»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конца 2027 года запланировано увеличение заработной платы работникам дошкольных и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общеообразовательных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 и работникам культуры на 3,0-8,0%.</w:t>
      </w:r>
    </w:p>
    <w:p w:rsidR="0031782C" w:rsidRPr="0031782C" w:rsidRDefault="0031782C" w:rsidP="00B20D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526" w:rsidRPr="0031782C" w:rsidRDefault="00EA3526" w:rsidP="00EA3526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Показатель № 9 «Доля детей в возрасте 1 - 6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1 - 6 лет</w:t>
      </w:r>
      <w:r w:rsidR="000555F0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2021 году составил 55% (252</w:t>
      </w:r>
      <w:proofErr w:type="gramStart"/>
      <w:r w:rsidR="000555F0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0555F0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458), в 2022 году – 86,18% (237 : 275), в 2023 году – 83,5% (193 : 231), в 2024 году – 80,1% (173 : 216), то есть снижение по сравнению с 2023 годом на 3,4%. Снижение показателя связано с уменьшением численности детей в возрасте 1-6 лет, получающих дошкольную образовательную услугу.</w:t>
      </w:r>
    </w:p>
    <w:p w:rsidR="00D12FB2" w:rsidRPr="0031782C" w:rsidRDefault="00D12FB2" w:rsidP="00D12FB2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Показатель № 10 «Доля детей в возрасте 1-6 лет, состоящих на учете для определения в муниципальные дошкольные образовательные   учреждения, в общей численности детей в возрасте 1-6 лет»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2021г составил 5,5% (25: 458), в 2022г – 4,7% (13</w:t>
      </w:r>
      <w:proofErr w:type="gram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275), в 2023г – 6,5% (15 : 231), в 2024г – 3,7% (8 : 216). Показатель в 2024 году снизился в связи с уменьшением численности детей от 1 до 3 лет, состоявших на учете для определения в дошкольные образовательные учреждения.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Показатель № 11 «Доля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учреждений»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2024 году составил 83,3</w:t>
      </w:r>
      <w:r w:rsidR="000555F0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EA3526" w:rsidRPr="0031782C" w:rsidRDefault="00EA3526" w:rsidP="00EA3526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статистической отчетности 85-К за 2024 год показаны 5 детских садов, в которых требуется капитальный ремонт (МКДОУ д/с № 1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Нагорск, МКДОУ д/с № 2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Нагорск, МКДОУ д/с № 3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Нагорск, МКДОУ д/с № 5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Нагорск, МКДОУ д/с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Синегорье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A3526" w:rsidRPr="0031782C" w:rsidRDefault="00EA3526" w:rsidP="00EA3526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Показатель № 13 «Доля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»  в 202</w:t>
      </w:r>
      <w:r w:rsidR="003C3F2C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составил </w:t>
      </w:r>
      <w:r w:rsidR="003C3F2C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76,25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% (ниже по сравнению с 202</w:t>
      </w:r>
      <w:r w:rsidR="003C3F2C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 на </w:t>
      </w:r>
      <w:r w:rsidR="003C3F2C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1,25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Показатель № 14 «Доля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</w:r>
      <w:r w:rsidR="004A29CD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3C3F2C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 80%. </w:t>
      </w:r>
    </w:p>
    <w:p w:rsidR="00EA3526" w:rsidRPr="0031782C" w:rsidRDefault="00EA3526" w:rsidP="004A29CD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статистической отчетности ОО-2 за 202</w:t>
      </w:r>
      <w:r w:rsidR="003C3F2C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показаны 4 школы, в которых требуется капитальный ремонт (МКОУ СОШ с. Заево, МКОУ СОШ п. Кобра, МКОУ ООШ с.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Мулино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МКОУ СОШ п. Орлецы).</w:t>
      </w:r>
    </w:p>
    <w:p w:rsidR="00EA3526" w:rsidRPr="0031782C" w:rsidRDefault="004A29CD" w:rsidP="004A29CD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Показатель № 15 </w:t>
      </w:r>
      <w:r w:rsidR="00EA3526"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«Доля детей первой и второй групп здоровья в общей </w:t>
      </w:r>
      <w:proofErr w:type="gramStart"/>
      <w:r w:rsidR="00EA3526"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численности</w:t>
      </w:r>
      <w:proofErr w:type="gramEnd"/>
      <w:r w:rsidR="00EA3526"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обучающихся в муниципальных общеобразовательных учреждениях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202</w:t>
      </w:r>
      <w:r w:rsidR="006E7418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 </w:t>
      </w:r>
      <w:r w:rsidR="006E7418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что на </w:t>
      </w:r>
      <w:r w:rsidR="006E7418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,6% выше по сравнению с 202</w:t>
      </w:r>
      <w:r w:rsidR="006E7418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E7418" w:rsidRPr="0031782C" w:rsidRDefault="004A29CD" w:rsidP="003178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Показатель № 17 «Расходы бюджета </w:t>
      </w:r>
      <w:r w:rsidR="00EA3526"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на общее образование в </w:t>
      </w: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расчете на </w:t>
      </w:r>
      <w:r w:rsidR="00EA3526"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обучающегося  в муни</w:t>
      </w: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ципальных общеобразовательных учреждениях» </w:t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6E7418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 </w:t>
      </w:r>
      <w:r w:rsidR="006E7418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71,87</w:t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в 202</w:t>
      </w:r>
      <w:r w:rsidR="006E7418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 – </w:t>
      </w:r>
      <w:r w:rsidR="006E7418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87,89</w:t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 </w:t>
      </w:r>
      <w:r w:rsidR="006E7418" w:rsidRPr="0031782C">
        <w:rPr>
          <w:rFonts w:ascii="Times New Roman" w:hAnsi="Times New Roman" w:cs="Times New Roman"/>
          <w:sz w:val="28"/>
          <w:szCs w:val="28"/>
        </w:rPr>
        <w:t xml:space="preserve">Увеличение расходов на 1 обучающегося связано с уменьшением численности учащихся в 2024 году, с увеличением расходов на выплату заработной платы работникам общеобразовательных организаций. </w:t>
      </w:r>
    </w:p>
    <w:p w:rsidR="006E7418" w:rsidRPr="0031782C" w:rsidRDefault="00EA3526" w:rsidP="006E74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Показатель № 18 «Доля детей в возрасте 5-18 лет, получающих    услуги по дополнительному образованию в организациях различной организационно-правовой формы собственности в общей численности детей данной возрастной группы» </w:t>
      </w:r>
      <w:r w:rsidR="006E7418" w:rsidRPr="0031782C">
        <w:rPr>
          <w:rFonts w:ascii="Times New Roman" w:hAnsi="Times New Roman" w:cs="Times New Roman"/>
          <w:sz w:val="28"/>
          <w:szCs w:val="28"/>
        </w:rPr>
        <w:t>в 2023г. – 99,75% (830</w:t>
      </w:r>
      <w:proofErr w:type="gramStart"/>
      <w:r w:rsidR="006E7418" w:rsidRPr="0031782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E7418" w:rsidRPr="0031782C">
        <w:rPr>
          <w:rFonts w:ascii="Times New Roman" w:hAnsi="Times New Roman" w:cs="Times New Roman"/>
          <w:sz w:val="28"/>
          <w:szCs w:val="28"/>
        </w:rPr>
        <w:t xml:space="preserve"> 833), в 2024г – 77,6% (602 : 776). Снижение показателя связано с уменьшением численности </w:t>
      </w:r>
      <w:proofErr w:type="gramStart"/>
      <w:r w:rsidR="006E7418" w:rsidRPr="0031782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E7418" w:rsidRPr="0031782C">
        <w:rPr>
          <w:rFonts w:ascii="Times New Roman" w:hAnsi="Times New Roman" w:cs="Times New Roman"/>
          <w:sz w:val="28"/>
          <w:szCs w:val="28"/>
        </w:rPr>
        <w:t>, получающих дополнительное образование.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Показатель 20 «Доля муниципальных учреждений культуры, здания которых находятся в аварийном состоянии или</w:t>
      </w:r>
      <w:r w:rsidR="004A29CD"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требуют капитального ремонта, </w:t>
      </w: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общем количестве муниципальных учреждений культуры»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CC32DF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CC32DF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C32DF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отремонтировано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здание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Шевырталовского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СДК</w:t>
      </w:r>
      <w:r w:rsidR="00CC32DF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782C" w:rsidRPr="0031782C" w:rsidRDefault="0031782C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Показатель 22</w:t>
      </w:r>
      <w:r w:rsidR="004A29CD"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Доля населения, систематически </w:t>
      </w:r>
      <w:proofErr w:type="gramStart"/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занимающихся</w:t>
      </w:r>
      <w:proofErr w:type="gramEnd"/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физической культурой и спортом, в общей численности населения»  -48,0%.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Показатель рассчитан в соответствии с данными федерального статистического наблюдения по форме № 1-ФК «Сведения о физической культуре и спорте». Согласно методическим рекомендациям </w:t>
      </w:r>
      <w:r w:rsidR="004A29CD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расчета данного показателя взята численность населения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4A29CD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образования в возрасте от 3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79 лет.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A81E9E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г.- </w:t>
      </w:r>
      <w:r w:rsidR="00A81E9E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3150</w:t>
      </w:r>
      <w:proofErr w:type="gram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1E9E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5858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="00A81E9E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53,77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</w:t>
      </w:r>
    </w:p>
    <w:p w:rsidR="0031782C" w:rsidRPr="0031782C" w:rsidRDefault="0031782C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7D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Показатель 24.1</w:t>
      </w:r>
      <w:r w:rsidR="004A29CD"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Общая площадь жилых помещений, приходящаяся в среднем на одного жителя всего».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общая площадь жилых помещений составила по состоянию на 01.01.202</w:t>
      </w:r>
      <w:r w:rsidR="003107D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</w:t>
      </w:r>
      <w:r w:rsidR="003107D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0,8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тыс.м2.   </w:t>
      </w:r>
    </w:p>
    <w:p w:rsidR="003107D6" w:rsidRPr="0031782C" w:rsidRDefault="0031782C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230,79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6,026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=38,299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2</m:t>
              </m:r>
            </m:sup>
          </m:sSup>
        </m:oMath>
      </m:oMathPara>
    </w:p>
    <w:p w:rsidR="00EA3526" w:rsidRPr="0031782C" w:rsidRDefault="00EA3526" w:rsidP="003107D6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показателя до конца 202</w:t>
      </w:r>
      <w:r w:rsidR="003107D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3107D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объясняется уменьшением численности населения. Планируется ежегодное списание ветхого и аварийного жилищного фонда в доп</w:t>
      </w:r>
      <w:r w:rsidR="003107D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устимых объемах (в зависимости от суммы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выделенных денежных средств в бюджетах поселений).</w:t>
      </w:r>
    </w:p>
    <w:p w:rsidR="00EA3526" w:rsidRPr="0031782C" w:rsidRDefault="00EA3526" w:rsidP="003107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Показатель 25.1</w:t>
      </w:r>
      <w:r w:rsidR="003107D6"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Площадь земельных участков, предоставленных для строительства в расче</w:t>
      </w:r>
      <w:r w:rsidR="003107D6"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 на 10 тыс. человек населения</w:t>
      </w: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107D6"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всего»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производственные объекты земельные участки не предоставлялись. Под ИЖС предоставлены участки в небольших количествах, поэтому </w:t>
      </w:r>
      <w:r w:rsidR="003107D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расчете на 10 тыс. человек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 получается 0,000.</w:t>
      </w:r>
    </w:p>
    <w:p w:rsidR="003107D6" w:rsidRPr="0031782C" w:rsidRDefault="00EA3526" w:rsidP="003107D6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Показатель 27 «Доля многоквартирных домов, в которых собственники помещений выбрали и реализуют один из способов управления многоквартирными домами в общем числе многоквартирных домов, в которых собственники помещений должны выбрать способ управления данными домами»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 w:rsidR="003107D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3107D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07D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100%. </w:t>
      </w:r>
    </w:p>
    <w:p w:rsidR="00EA3526" w:rsidRPr="0031782C" w:rsidRDefault="00EA3526" w:rsidP="003107D6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статистической форме</w:t>
      </w:r>
      <w:r w:rsidR="003107D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22-ЖКХ «Сведения о структурных преобразованиях и организационных мероприятиях в сфере жилищно-коммунального хозяйства» собственники всех </w:t>
      </w:r>
      <w:r w:rsidR="003107D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многоквартирных домов выбрали один из способов управления.</w:t>
      </w:r>
    </w:p>
    <w:p w:rsidR="00EA3526" w:rsidRPr="0031782C" w:rsidRDefault="00EA3526" w:rsidP="003107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Показатель 28</w:t>
      </w:r>
      <w:r w:rsidR="003107D6"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муниципального,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района)»,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3107D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– 100%. </w:t>
      </w:r>
    </w:p>
    <w:p w:rsidR="003107D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</w:t>
      </w:r>
      <w:r w:rsidR="003107D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4 организации: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«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Нагорские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коммунальные системы», ООО</w:t>
      </w:r>
      <w:r w:rsidR="003107D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ЖилКомСервис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ООО «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Нагорская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МСО», </w:t>
      </w:r>
      <w:proofErr w:type="spellStart"/>
      <w:r w:rsidR="003107D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Нагорское</w:t>
      </w:r>
      <w:proofErr w:type="spellEnd"/>
      <w:r w:rsidR="003107D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Райпо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107D6" w:rsidRPr="0031782C" w:rsidRDefault="0031782C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4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4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=100%</m:t>
          </m:r>
        </m:oMath>
      </m:oMathPara>
    </w:p>
    <w:p w:rsidR="003107D6" w:rsidRPr="0031782C" w:rsidRDefault="00EA3526" w:rsidP="003107D6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Показатель 30 «Доля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</w:r>
      <w:r w:rsidR="003107D6"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</w:t>
      </w:r>
      <w:r w:rsidRPr="003178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107D6" w:rsidRPr="003178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2024 году – 1,37% (в 2023 году – 1,27%). </w:t>
      </w:r>
    </w:p>
    <w:p w:rsidR="003107D6" w:rsidRPr="0031782C" w:rsidRDefault="003107D6" w:rsidP="003107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8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2024 году стояло на учете в поселениях – 56 семей (145 человек). </w:t>
      </w:r>
    </w:p>
    <w:p w:rsidR="003107D6" w:rsidRPr="0031782C" w:rsidRDefault="003107D6" w:rsidP="003107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82C">
        <w:rPr>
          <w:rFonts w:ascii="Times New Roman" w:eastAsia="Times New Roman" w:hAnsi="Times New Roman" w:cs="Times New Roman"/>
          <w:sz w:val="26"/>
          <w:szCs w:val="26"/>
          <w:lang w:eastAsia="ru-RU"/>
        </w:rPr>
        <w:t>Улучшили жилищные условия 1 семья (2 человека в Нагорском городском поселении).</w:t>
      </w:r>
    </w:p>
    <w:p w:rsidR="003107D6" w:rsidRPr="0031782C" w:rsidRDefault="0031782C" w:rsidP="003107D6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sz w:val="26"/>
                  <w:szCs w:val="26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6"/>
                  <w:szCs w:val="26"/>
                  <w:lang w:eastAsia="ru-RU"/>
                </w:rPr>
                <m:t>2</m:t>
              </m:r>
            </m:num>
            <m:den>
              <m:r>
                <w:rPr>
                  <w:rFonts w:ascii="Cambria Math" w:eastAsia="Times New Roman" w:hAnsi="Cambria Math" w:cs="Times New Roman"/>
                  <w:sz w:val="26"/>
                  <w:szCs w:val="26"/>
                  <w:lang w:eastAsia="ru-RU"/>
                </w:rPr>
                <m:t>145</m:t>
              </m:r>
            </m:den>
          </m:f>
          <m:r>
            <w:rPr>
              <w:rFonts w:ascii="Cambria Math" w:eastAsia="Times New Roman" w:hAnsi="Cambria Math" w:cs="Times New Roman"/>
              <w:sz w:val="26"/>
              <w:szCs w:val="26"/>
              <w:lang w:eastAsia="ru-RU"/>
            </w:rPr>
            <m:t>=1,37%</m:t>
          </m:r>
        </m:oMath>
      </m:oMathPara>
    </w:p>
    <w:p w:rsidR="00373F87" w:rsidRPr="0031782C" w:rsidRDefault="00EA3526" w:rsidP="00373F87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Пояснение показателя 31 «Доля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субвенций)»</w:t>
      </w:r>
      <w:r w:rsidR="003107D6"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373F87"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73F87" w:rsidRPr="0031782C">
        <w:rPr>
          <w:rFonts w:ascii="Times New Roman" w:eastAsia="Times New Roman" w:hAnsi="Times New Roman" w:cs="Times New Roman"/>
          <w:sz w:val="26"/>
          <w:szCs w:val="26"/>
          <w:lang w:eastAsia="ru-RU"/>
        </w:rPr>
        <w:t>в 2024 году – 31,748%.</w:t>
      </w:r>
    </w:p>
    <w:p w:rsidR="0031782C" w:rsidRPr="0031782C" w:rsidRDefault="0031782C" w:rsidP="00373F87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385" w:type="dxa"/>
        <w:tblInd w:w="108" w:type="dxa"/>
        <w:tblLook w:val="04A0" w:firstRow="1" w:lastRow="0" w:firstColumn="1" w:lastColumn="0" w:noHBand="0" w:noVBand="1"/>
      </w:tblPr>
      <w:tblGrid>
        <w:gridCol w:w="5132"/>
        <w:gridCol w:w="1418"/>
        <w:gridCol w:w="1417"/>
        <w:gridCol w:w="1418"/>
      </w:tblGrid>
      <w:tr w:rsidR="0031782C" w:rsidRPr="0031782C" w:rsidTr="00373F87">
        <w:trPr>
          <w:trHeight w:val="340"/>
        </w:trPr>
        <w:tc>
          <w:tcPr>
            <w:tcW w:w="5132" w:type="dxa"/>
          </w:tcPr>
          <w:p w:rsidR="00373F87" w:rsidRPr="0031782C" w:rsidRDefault="00373F87" w:rsidP="00373F87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31782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1418" w:type="dxa"/>
          </w:tcPr>
          <w:p w:rsidR="00373F87" w:rsidRPr="0031782C" w:rsidRDefault="00373F87" w:rsidP="00373F87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31782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2022 год</w:t>
            </w:r>
          </w:p>
        </w:tc>
        <w:tc>
          <w:tcPr>
            <w:tcW w:w="1417" w:type="dxa"/>
          </w:tcPr>
          <w:p w:rsidR="00373F87" w:rsidRPr="0031782C" w:rsidRDefault="00373F87" w:rsidP="00373F87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31782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2023 год</w:t>
            </w:r>
          </w:p>
        </w:tc>
        <w:tc>
          <w:tcPr>
            <w:tcW w:w="1418" w:type="dxa"/>
          </w:tcPr>
          <w:p w:rsidR="00373F87" w:rsidRPr="0031782C" w:rsidRDefault="00373F87" w:rsidP="00373F87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31782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2024 год</w:t>
            </w:r>
          </w:p>
        </w:tc>
      </w:tr>
      <w:tr w:rsidR="0031782C" w:rsidRPr="0031782C" w:rsidTr="00373F87">
        <w:tc>
          <w:tcPr>
            <w:tcW w:w="5132" w:type="dxa"/>
          </w:tcPr>
          <w:p w:rsidR="00373F87" w:rsidRPr="0031782C" w:rsidRDefault="00373F87" w:rsidP="00373F8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8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Всего налоговых и неналоговых доходов, тыс. рублей</w:t>
            </w:r>
          </w:p>
        </w:tc>
        <w:tc>
          <w:tcPr>
            <w:tcW w:w="1418" w:type="dxa"/>
          </w:tcPr>
          <w:p w:rsidR="00373F87" w:rsidRPr="0031782C" w:rsidRDefault="00373F87" w:rsidP="00373F87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8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102 207,9</w:t>
            </w:r>
          </w:p>
        </w:tc>
        <w:tc>
          <w:tcPr>
            <w:tcW w:w="1417" w:type="dxa"/>
          </w:tcPr>
          <w:p w:rsidR="00373F87" w:rsidRPr="0031782C" w:rsidRDefault="00373F87" w:rsidP="00373F87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8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98 405,2</w:t>
            </w:r>
          </w:p>
        </w:tc>
        <w:tc>
          <w:tcPr>
            <w:tcW w:w="1418" w:type="dxa"/>
          </w:tcPr>
          <w:p w:rsidR="00373F87" w:rsidRPr="0031782C" w:rsidRDefault="00373F87" w:rsidP="00373F87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8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113 134,3</w:t>
            </w:r>
          </w:p>
        </w:tc>
      </w:tr>
      <w:tr w:rsidR="0031782C" w:rsidRPr="0031782C" w:rsidTr="00373F87">
        <w:tc>
          <w:tcPr>
            <w:tcW w:w="5132" w:type="dxa"/>
          </w:tcPr>
          <w:p w:rsidR="00373F87" w:rsidRPr="0031782C" w:rsidRDefault="00373F87" w:rsidP="00373F8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8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Общий объем доходов бюджета (без субвенции областного бюджета), тыс. рублей</w:t>
            </w:r>
          </w:p>
        </w:tc>
        <w:tc>
          <w:tcPr>
            <w:tcW w:w="1418" w:type="dxa"/>
          </w:tcPr>
          <w:p w:rsidR="00373F87" w:rsidRPr="0031782C" w:rsidRDefault="00373F87" w:rsidP="00373F87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8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272 986,6</w:t>
            </w:r>
          </w:p>
        </w:tc>
        <w:tc>
          <w:tcPr>
            <w:tcW w:w="1417" w:type="dxa"/>
          </w:tcPr>
          <w:p w:rsidR="00373F87" w:rsidRPr="0031782C" w:rsidRDefault="00373F87" w:rsidP="00373F87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8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292 191,7</w:t>
            </w:r>
          </w:p>
        </w:tc>
        <w:tc>
          <w:tcPr>
            <w:tcW w:w="1418" w:type="dxa"/>
          </w:tcPr>
          <w:p w:rsidR="00373F87" w:rsidRPr="0031782C" w:rsidRDefault="00373F87" w:rsidP="00373F87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8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356 351,5</w:t>
            </w:r>
          </w:p>
        </w:tc>
      </w:tr>
      <w:tr w:rsidR="0031782C" w:rsidRPr="0031782C" w:rsidTr="00373F87">
        <w:tc>
          <w:tcPr>
            <w:tcW w:w="5132" w:type="dxa"/>
          </w:tcPr>
          <w:p w:rsidR="00373F87" w:rsidRPr="0031782C" w:rsidRDefault="00373F87" w:rsidP="00373F8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8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налоговых и неналоговых доходов местного бюджета в общем объеме собственных доходов бюджета муниципального образования, %</w:t>
            </w:r>
          </w:p>
        </w:tc>
        <w:tc>
          <w:tcPr>
            <w:tcW w:w="1418" w:type="dxa"/>
            <w:vAlign w:val="center"/>
          </w:tcPr>
          <w:p w:rsidR="00373F87" w:rsidRPr="0031782C" w:rsidRDefault="00373F87" w:rsidP="00373F87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31782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37,4</w:t>
            </w:r>
          </w:p>
        </w:tc>
        <w:tc>
          <w:tcPr>
            <w:tcW w:w="1417" w:type="dxa"/>
            <w:vAlign w:val="center"/>
          </w:tcPr>
          <w:p w:rsidR="00373F87" w:rsidRPr="0031782C" w:rsidRDefault="00373F87" w:rsidP="00373F87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31782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33,678</w:t>
            </w:r>
          </w:p>
        </w:tc>
        <w:tc>
          <w:tcPr>
            <w:tcW w:w="1418" w:type="dxa"/>
            <w:vAlign w:val="center"/>
          </w:tcPr>
          <w:p w:rsidR="00373F87" w:rsidRPr="0031782C" w:rsidRDefault="00373F87" w:rsidP="00373F87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31782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31,748</w:t>
            </w:r>
          </w:p>
        </w:tc>
      </w:tr>
    </w:tbl>
    <w:p w:rsidR="00373F87" w:rsidRPr="0031782C" w:rsidRDefault="00EA3526" w:rsidP="00373F87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373F87"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ояснение показателя 35 «</w:t>
      </w: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образования»</w:t>
      </w:r>
      <w:r w:rsidR="00373F87"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373F87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2023 год – 6140,0 руб., за 2024 год – 6792,3 руб.</w:t>
      </w:r>
    </w:p>
    <w:p w:rsidR="00373F87" w:rsidRPr="0031782C" w:rsidRDefault="00373F87" w:rsidP="00373F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2024году по сравнению с прошлым годом показатель увеличился на 652,3 руб. и составил 6792,3 руб. на одного жителя. Причиной роста послужило: </w:t>
      </w:r>
    </w:p>
    <w:p w:rsidR="00373F87" w:rsidRPr="0031782C" w:rsidRDefault="00373F87" w:rsidP="00373F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 01.01.2024 увеличение МРОТ с 16242,00 руб. до 19242,00 руб., или на 3000,00 руб.;</w:t>
      </w:r>
    </w:p>
    <w:p w:rsidR="00373F87" w:rsidRPr="0031782C" w:rsidRDefault="00373F87" w:rsidP="00373F8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 01.10.2024 рост заработной платы работников муниципальных учреждений на 10%.</w:t>
      </w:r>
    </w:p>
    <w:p w:rsidR="00373F87" w:rsidRPr="0031782C" w:rsidRDefault="00373F87" w:rsidP="00373F87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снижение численности населения с 6,353 тыс. человек 2023 году до 6,126 тыс. человек 2024 году.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A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A" w:hAnsi="Times New Roman" w:cs="Times New Roman"/>
          <w:b/>
          <w:sz w:val="28"/>
          <w:szCs w:val="28"/>
          <w:lang w:eastAsia="ru-RU"/>
        </w:rPr>
        <w:t>Показатель 39</w:t>
      </w:r>
      <w:r w:rsidR="00373F87" w:rsidRPr="0031782C">
        <w:rPr>
          <w:rFonts w:ascii="Times New Roman" w:eastAsia="A" w:hAnsi="Times New Roman" w:cs="Times New Roman"/>
          <w:b/>
          <w:sz w:val="28"/>
          <w:szCs w:val="28"/>
          <w:lang w:eastAsia="ru-RU"/>
        </w:rPr>
        <w:t xml:space="preserve"> «</w:t>
      </w:r>
      <w:r w:rsidRPr="0031782C">
        <w:rPr>
          <w:rFonts w:ascii="Times New Roman" w:eastAsia="A" w:hAnsi="Times New Roman" w:cs="Times New Roman"/>
          <w:b/>
          <w:sz w:val="28"/>
          <w:szCs w:val="28"/>
          <w:lang w:eastAsia="ru-RU"/>
        </w:rPr>
        <w:t xml:space="preserve">Удельная величина потребления энергетических ресурсов </w:t>
      </w:r>
      <w:r w:rsidR="00373F87" w:rsidRPr="0031782C">
        <w:rPr>
          <w:rFonts w:ascii="Times New Roman" w:eastAsia="A" w:hAnsi="Times New Roman" w:cs="Times New Roman"/>
          <w:b/>
          <w:sz w:val="28"/>
          <w:szCs w:val="28"/>
          <w:lang w:eastAsia="ru-RU"/>
        </w:rPr>
        <w:t>в многоквартирных домах»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39.1. Эл</w:t>
      </w:r>
      <w:proofErr w:type="gram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373F87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proofErr w:type="gram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нергия на одного проживающего 808,0</w:t>
      </w:r>
      <w:r w:rsidR="008F44AD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73F87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кВт ч – (объем потребленной эл. энергии 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2680</w:t>
      </w:r>
      <w:r w:rsidR="008F44AD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302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кВт,   количество проживающих в многоквартирных домах 331</w:t>
      </w:r>
      <w:r w:rsidR="008F44AD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39.2. Тепловая энергия, на 1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 общей площади 0,3</w:t>
      </w:r>
      <w:r w:rsidR="008F44AD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73F87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Гкал (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потребленной тепловой энергии  13</w:t>
      </w:r>
      <w:r w:rsidR="008F44AD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Гкал, общая площадь  отапливаемых помещений 3569,3 м</w:t>
      </w:r>
      <w:proofErr w:type="gram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A3526" w:rsidRPr="0031782C" w:rsidRDefault="00EA3526" w:rsidP="00373F87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39.4. Холодная во</w:t>
      </w:r>
      <w:r w:rsidR="00373F87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на 1 </w:t>
      </w:r>
      <w:proofErr w:type="gramStart"/>
      <w:r w:rsidR="00373F87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</w:t>
      </w:r>
      <w:proofErr w:type="gramEnd"/>
      <w:r w:rsidR="00373F87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13,</w:t>
      </w:r>
      <w:r w:rsidR="008F44AD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73F87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м3 (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потребленной воды населением  9</w:t>
      </w:r>
      <w:r w:rsidR="008F44AD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0928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м3,   количество проживающих  65</w:t>
      </w:r>
      <w:r w:rsidR="008F44AD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89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чел.).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A" w:hAnsi="Times New Roman" w:cs="Times New Roman"/>
          <w:b/>
          <w:sz w:val="28"/>
          <w:szCs w:val="28"/>
          <w:lang w:eastAsia="ru-RU"/>
        </w:rPr>
        <w:t>П</w:t>
      </w:r>
      <w:r w:rsidR="00373F87" w:rsidRPr="0031782C">
        <w:rPr>
          <w:rFonts w:ascii="Times New Roman" w:eastAsia="A" w:hAnsi="Times New Roman" w:cs="Times New Roman"/>
          <w:b/>
          <w:sz w:val="28"/>
          <w:szCs w:val="28"/>
          <w:lang w:eastAsia="ru-RU"/>
        </w:rPr>
        <w:t>оказатель 40 «</w:t>
      </w:r>
      <w:r w:rsidRPr="0031782C">
        <w:rPr>
          <w:rFonts w:ascii="Times New Roman" w:eastAsia="A" w:hAnsi="Times New Roman" w:cs="Times New Roman"/>
          <w:b/>
          <w:sz w:val="28"/>
          <w:szCs w:val="28"/>
          <w:lang w:eastAsia="ru-RU"/>
        </w:rPr>
        <w:t>Удельная величина потребления энергетических ресурсов муниципальными бюджетными учреждениями»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Эл.энергия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одного человека населения 121,2 кВт ч – ( объем потребленной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эл.энергии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771320 кВт,   количество проживающих  6353 чел.).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Тепловая энергия, на 1 кв. м общей площади 0,19 Гкал ( объем потребленной тепловой энергии  10480 Гкал, общая площадь  отапливаемых бюджетных помещений 53166 м2).</w:t>
      </w:r>
    </w:p>
    <w:p w:rsidR="00EA3526" w:rsidRPr="0031782C" w:rsidRDefault="00EA3526" w:rsidP="006E32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3. Холодная вода, на 1 человека населения 1,20 м3 ( объем потребленной воды бюджетными учреждениями  7940 м3,   количество проживающих  6590 чел.).</w:t>
      </w:r>
    </w:p>
    <w:p w:rsidR="00EA3526" w:rsidRPr="0031782C" w:rsidRDefault="00EA3526" w:rsidP="006E320A">
      <w:pPr>
        <w:suppressAutoHyphens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</w:t>
      </w:r>
      <w:r w:rsidR="006E320A" w:rsidRPr="003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ые задачи и направления работы </w:t>
      </w:r>
      <w:r w:rsidRPr="003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6E320A" w:rsidRPr="003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3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  <w:r w:rsidR="006E320A" w:rsidRPr="003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A3526" w:rsidRPr="0031782C" w:rsidRDefault="006E320A" w:rsidP="006E320A">
      <w:pPr>
        <w:pStyle w:val="a7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A" w:hAnsi="Times New Roman" w:cs="Times New Roman"/>
          <w:sz w:val="28"/>
          <w:szCs w:val="28"/>
          <w:lang w:eastAsia="ru-RU"/>
        </w:rPr>
        <w:t xml:space="preserve">Реализация национальных </w:t>
      </w:r>
      <w:r w:rsidR="00EA3526" w:rsidRPr="0031782C">
        <w:rPr>
          <w:rFonts w:ascii="Times New Roman" w:eastAsia="A" w:hAnsi="Times New Roman" w:cs="Times New Roman"/>
          <w:sz w:val="28"/>
          <w:szCs w:val="28"/>
          <w:lang w:eastAsia="ru-RU"/>
        </w:rPr>
        <w:t>проектов</w:t>
      </w:r>
      <w:r w:rsidRPr="0031782C">
        <w:rPr>
          <w:rFonts w:ascii="Times New Roman" w:eastAsia="A" w:hAnsi="Times New Roman" w:cs="Times New Roman"/>
          <w:sz w:val="28"/>
          <w:szCs w:val="28"/>
          <w:lang w:eastAsia="ru-RU"/>
        </w:rPr>
        <w:t>.</w:t>
      </w:r>
    </w:p>
    <w:p w:rsidR="006E320A" w:rsidRPr="0031782C" w:rsidRDefault="006E320A" w:rsidP="006E320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" w:hAnsi="Times New Roman" w:cs="Times New Roman"/>
          <w:b/>
          <w:sz w:val="28"/>
          <w:szCs w:val="28"/>
          <w:lang w:eastAsia="ru-RU"/>
        </w:rPr>
      </w:pPr>
      <w:r w:rsidRPr="0031782C">
        <w:rPr>
          <w:rFonts w:ascii="Times New Roman" w:eastAsia="A" w:hAnsi="Times New Roman" w:cs="Times New Roman"/>
          <w:b/>
          <w:sz w:val="28"/>
          <w:szCs w:val="28"/>
          <w:lang w:eastAsia="ru-RU"/>
        </w:rPr>
        <w:lastRenderedPageBreak/>
        <w:t>Национальный проект «Семья», региональный проект «Семейные ценности и инфраструктура культуры»</w:t>
      </w:r>
      <w:r w:rsidR="00DF3004" w:rsidRPr="0031782C">
        <w:rPr>
          <w:rFonts w:ascii="Times New Roman" w:eastAsia="A" w:hAnsi="Times New Roman" w:cs="Times New Roman"/>
          <w:b/>
          <w:sz w:val="28"/>
          <w:szCs w:val="28"/>
          <w:lang w:eastAsia="ru-RU"/>
        </w:rPr>
        <w:t>:</w:t>
      </w:r>
    </w:p>
    <w:p w:rsidR="006E320A" w:rsidRPr="0031782C" w:rsidRDefault="006E320A" w:rsidP="006E320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A" w:hAnsi="Times New Roman" w:cs="Times New Roman"/>
          <w:sz w:val="28"/>
          <w:szCs w:val="28"/>
          <w:lang w:eastAsia="ru-RU"/>
        </w:rPr>
        <w:t>Достижение показателя «Уровень удовлетворенности граждан работой государственных и муниципальных организаций культуры, искусства и народного творчества» – 66,2%</w:t>
      </w:r>
    </w:p>
    <w:p w:rsidR="006E320A" w:rsidRPr="0031782C" w:rsidRDefault="006E320A" w:rsidP="006E320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" w:hAnsi="Times New Roman" w:cs="Times New Roman"/>
          <w:b/>
          <w:sz w:val="28"/>
          <w:szCs w:val="28"/>
          <w:lang w:eastAsia="ru-RU"/>
        </w:rPr>
      </w:pPr>
      <w:r w:rsidRPr="0031782C">
        <w:rPr>
          <w:rFonts w:ascii="Times New Roman" w:eastAsia="A" w:hAnsi="Times New Roman" w:cs="Times New Roman"/>
          <w:b/>
          <w:sz w:val="28"/>
          <w:szCs w:val="28"/>
          <w:lang w:eastAsia="ru-RU"/>
        </w:rPr>
        <w:t>Национальный проект «Экономика данных и цифровая трансформация государства», региональный проект «Цифровое государственное управление»</w:t>
      </w:r>
      <w:r w:rsidR="00DF3004" w:rsidRPr="0031782C">
        <w:rPr>
          <w:rFonts w:ascii="Times New Roman" w:eastAsia="A" w:hAnsi="Times New Roman" w:cs="Times New Roman"/>
          <w:b/>
          <w:sz w:val="28"/>
          <w:szCs w:val="28"/>
          <w:lang w:eastAsia="ru-RU"/>
        </w:rPr>
        <w:t>:</w:t>
      </w:r>
    </w:p>
    <w:p w:rsidR="006E320A" w:rsidRPr="0031782C" w:rsidRDefault="006E320A" w:rsidP="006E320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A" w:hAnsi="Times New Roman" w:cs="Times New Roman"/>
          <w:sz w:val="28"/>
          <w:szCs w:val="28"/>
          <w:lang w:eastAsia="ru-RU"/>
        </w:rPr>
        <w:t>Достижение уровня показателя «Доля обращений за получением массовых социально значимых государственных и муниципальных услуг в электронном виде с использованием ЕПГУ и (или) РПГУ в общем количестве обращений» – 51,0%.</w:t>
      </w:r>
    </w:p>
    <w:p w:rsidR="006E320A" w:rsidRPr="0031782C" w:rsidRDefault="006E320A" w:rsidP="006E32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Национальный проект «Молодежь и дети», региональный проект «Педагоги и наставники»</w:t>
      </w:r>
      <w:r w:rsidR="00DF3004"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E320A" w:rsidRPr="0031782C" w:rsidRDefault="006E320A" w:rsidP="006E32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уровня показателя «Выплаты ежемесячного денежного вознаграждения советникам директоров по воспитанию и взаимодействию с детскими общественными объединениями» – 5 единиц (450,0 тыс. руб.).</w:t>
      </w:r>
    </w:p>
    <w:p w:rsidR="006E320A" w:rsidRPr="0031782C" w:rsidRDefault="006E320A" w:rsidP="006E32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уровня показателя «Выплаты денежного вознаграждения за классное руководство, предоставляемые педагогическим работникам образовательных организаций» – 39 ед. (7 007,4 тыс. руб.).</w:t>
      </w:r>
    </w:p>
    <w:p w:rsidR="006E320A" w:rsidRPr="0031782C" w:rsidRDefault="006E320A" w:rsidP="006E32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уровня показателя «В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объединениями» – 5 ед. (637,5 тыс. руб.).</w:t>
      </w:r>
    </w:p>
    <w:p w:rsidR="00DF3004" w:rsidRPr="0031782C" w:rsidRDefault="00DF3004" w:rsidP="00DF30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Национальный проект «Инфраструктура для жизни», региональный проект «Региональная и местная дорожная сеть»:</w:t>
      </w:r>
    </w:p>
    <w:p w:rsidR="00DF3004" w:rsidRPr="0031782C" w:rsidRDefault="00DF3004" w:rsidP="00DF30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Ремонт моста через реку Кобра на автодороге «Объездная» п. Нагорск км 5+450 в Нагорском районе. Муниципальный контракт заключен на сумму 89 522,8 тыс. руб., окончание работ – 30.09.2025.</w:t>
      </w:r>
    </w:p>
    <w:p w:rsidR="00DF3004" w:rsidRPr="0031782C" w:rsidRDefault="00DF3004" w:rsidP="00DF30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Капитальный ремонт моста через реку Белая на автодороге общего пользования местного значения Кобра – Орлецы, км 0+500 в Нагорском районе. Муниципальный контракт заключен на сумму 14 840,1 тыс. руб., окончание работ – 30.09.2025</w:t>
      </w:r>
    </w:p>
    <w:p w:rsidR="00DF3004" w:rsidRPr="0031782C" w:rsidRDefault="00DF3004" w:rsidP="00DF30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Капитальный ремонт моста через реку Федоровка на автодороге общего пользования местного значения Нагорск –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Бажелка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км 50+350 в Нагорском районе. Муниципальный контракт заключен на сумму 17 753,8 тыс. руб., окончание работ – 30.10.2025.</w:t>
      </w:r>
    </w:p>
    <w:p w:rsidR="00DF3004" w:rsidRPr="0031782C" w:rsidRDefault="00DF3004" w:rsidP="00DF30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Национальный проект «Инфраструктура для жизни», региональный проект «Формирование комфортной городской среды:</w:t>
      </w:r>
    </w:p>
    <w:p w:rsidR="00DF3004" w:rsidRPr="0031782C" w:rsidRDefault="00DF3004" w:rsidP="00DF30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работ по благоустройству в рамках реализации муниципальной программы «Формирование современной городской среды на территории муниципального образования Нагорское городское поселение Нагорского района Кировской области» на 2025-2029 год». Муниципальный контракт заключен на сумму 3 030,3 тыс. руб., окончание работ – 15.09.2025.</w:t>
      </w:r>
    </w:p>
    <w:p w:rsidR="00EA3526" w:rsidRPr="0031782C" w:rsidRDefault="001902F4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</w:t>
      </w:r>
      <w:r w:rsidR="00EA3526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DF3004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</w:t>
      </w:r>
      <w:r w:rsidR="00EA3526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своени</w:t>
      </w:r>
      <w:r w:rsidR="00DF3004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EA3526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расчетной лесосеки до 92% и полн</w:t>
      </w:r>
      <w:r w:rsidR="00DF3004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r w:rsidR="00EA3526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переработк</w:t>
      </w:r>
      <w:r w:rsidR="00DF3004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EA3526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хвойного пиловочника н</w:t>
      </w:r>
      <w:r w:rsidR="00DF3004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территории Нагорского района.</w:t>
      </w:r>
    </w:p>
    <w:p w:rsidR="00EA3526" w:rsidRPr="0031782C" w:rsidRDefault="001902F4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EA3526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DF3004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EA3526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мероприятий по благоустройству территорий района.</w:t>
      </w:r>
    </w:p>
    <w:p w:rsidR="00EA3526" w:rsidRPr="0031782C" w:rsidRDefault="001902F4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A3526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DF3004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EA3526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Обновление материально-технической базы в учреждениях образования и культуры.</w:t>
      </w:r>
    </w:p>
    <w:p w:rsidR="00EA3526" w:rsidRPr="0031782C" w:rsidRDefault="001902F4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EA3526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DF3004" w:rsidRPr="0031782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ab/>
      </w:r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развития </w:t>
      </w:r>
      <w:proofErr w:type="spellStart"/>
      <w:r w:rsidR="00EA3526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аг</w:t>
      </w:r>
      <w:r w:rsidR="00DF3004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ротуризма</w:t>
      </w:r>
      <w:proofErr w:type="spellEnd"/>
      <w:r w:rsidR="00DF3004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Нагорском районе в 2025 году </w:t>
      </w:r>
      <w:r w:rsidR="007C24E1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Туристический комплекс</w:t>
      </w:r>
      <w:r w:rsidR="00DF3004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«Марал» (</w:t>
      </w:r>
      <w:r w:rsidR="007C24E1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 w:rsidR="007C24E1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Дударева</w:t>
      </w:r>
      <w:proofErr w:type="spellEnd"/>
      <w:r w:rsidR="007C24E1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Л.Н.) планирует подготовить помещение для принятия «пантовых ванн» для гостей и туристов с проживанием.</w:t>
      </w:r>
    </w:p>
    <w:p w:rsidR="007C24E1" w:rsidRPr="0031782C" w:rsidRDefault="001902F4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C24E1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C24E1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ИП </w:t>
      </w:r>
      <w:proofErr w:type="spellStart"/>
      <w:r w:rsidR="007C24E1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Леушин</w:t>
      </w:r>
      <w:proofErr w:type="spellEnd"/>
      <w:r w:rsidR="007C24E1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 в 2025 году планирует запустить цех по производству </w:t>
      </w:r>
      <w:proofErr w:type="spellStart"/>
      <w:r w:rsidR="007C24E1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домокомплектов</w:t>
      </w:r>
      <w:proofErr w:type="spellEnd"/>
      <w:r w:rsidR="007C24E1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профилированного клееного бруса, </w:t>
      </w:r>
      <w:proofErr w:type="spellStart"/>
      <w:r w:rsidR="007C24E1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фахферков</w:t>
      </w:r>
      <w:proofErr w:type="spellEnd"/>
      <w:r w:rsidR="007C24E1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конструкционной клееной балки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Данное направление позволит развивать ИЖС в том числе на территории Нагорского района (при наличии заказчиков).</w:t>
      </w:r>
    </w:p>
    <w:p w:rsidR="00AE4B7C" w:rsidRPr="0031782C" w:rsidRDefault="00AE4B7C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2024 году с «Сегежа Групп» заключено Соглашение об оказании финансовой помощи в рамках социального партнерства на 2 года (2025-2026 гг.) по ремонту объектов водоснабжения в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Нагорск (8 067,4 тыс. руб. в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6 607,7 тыс. руб. от «Сегежа Групп») и в с. </w:t>
      </w:r>
      <w:proofErr w:type="spellStart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Синегорье</w:t>
      </w:r>
      <w:proofErr w:type="spellEnd"/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(1 321</w:t>
      </w:r>
      <w:r w:rsidR="00385C8A"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,5 тыс. руб. от «Сегежа Групп»)</w:t>
      </w: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3526" w:rsidRPr="0031782C" w:rsidRDefault="00EA3526" w:rsidP="00DF3004">
      <w:pPr>
        <w:suppressAutoHyphens/>
        <w:autoSpaceDE w:val="0"/>
        <w:autoSpaceDN w:val="0"/>
        <w:adjustRightInd w:val="0"/>
        <w:spacing w:before="4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</w:p>
    <w:p w:rsidR="00EA3526" w:rsidRPr="0031782C" w:rsidRDefault="00EA3526" w:rsidP="00DF300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Заведующий отделом экономики и работы с малым</w:t>
      </w:r>
    </w:p>
    <w:p w:rsidR="00EA3526" w:rsidRPr="0031782C" w:rsidRDefault="00EA3526" w:rsidP="00DF30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бизнесом администрации Нагорского района</w:t>
      </w: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DF3004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Т.Н. </w:t>
      </w:r>
      <w:proofErr w:type="spellStart"/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Усатова</w:t>
      </w:r>
      <w:proofErr w:type="spellEnd"/>
    </w:p>
    <w:p w:rsidR="00EA3526" w:rsidRPr="0031782C" w:rsidRDefault="00EA3526" w:rsidP="00DF30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3526" w:rsidRPr="0031782C" w:rsidRDefault="00A81172" w:rsidP="00DF30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</w:t>
      </w:r>
      <w:r w:rsidR="00EA3526" w:rsidRPr="003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апреля 2025 года</w:t>
      </w:r>
    </w:p>
    <w:p w:rsidR="00EA3526" w:rsidRPr="0031782C" w:rsidRDefault="00EA3526" w:rsidP="00EA35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3922DA" w:rsidRPr="0031782C" w:rsidRDefault="003922DA"/>
    <w:sectPr w:rsidR="003922DA" w:rsidRPr="0031782C" w:rsidSect="00E05F74">
      <w:footerReference w:type="default" r:id="rId8"/>
      <w:pgSz w:w="11906" w:h="16838"/>
      <w:pgMar w:top="567" w:right="851" w:bottom="851" w:left="1701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D30" w:rsidRDefault="00641F40">
      <w:pPr>
        <w:spacing w:after="0" w:line="240" w:lineRule="auto"/>
      </w:pPr>
      <w:r>
        <w:separator/>
      </w:r>
    </w:p>
  </w:endnote>
  <w:endnote w:type="continuationSeparator" w:id="0">
    <w:p w:rsidR="00194D30" w:rsidRDefault="00641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">
    <w:altName w:val="Arial Unicode MS"/>
    <w:charset w:val="80"/>
    <w:family w:val="swiss"/>
    <w:pitch w:val="variable"/>
    <w:sig w:usb0="21003A87" w:usb1="090F0000" w:usb2="00000010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CA" w:rsidRDefault="001902F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1782C">
      <w:rPr>
        <w:noProof/>
      </w:rPr>
      <w:t>1</w:t>
    </w:r>
    <w:r>
      <w:fldChar w:fldCharType="end"/>
    </w:r>
  </w:p>
  <w:p w:rsidR="002B2CCA" w:rsidRDefault="0031782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D30" w:rsidRDefault="00641F40">
      <w:pPr>
        <w:spacing w:after="0" w:line="240" w:lineRule="auto"/>
      </w:pPr>
      <w:r>
        <w:separator/>
      </w:r>
    </w:p>
  </w:footnote>
  <w:footnote w:type="continuationSeparator" w:id="0">
    <w:p w:rsidR="00194D30" w:rsidRDefault="00641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67C39"/>
    <w:multiLevelType w:val="hybridMultilevel"/>
    <w:tmpl w:val="805234CE"/>
    <w:lvl w:ilvl="0" w:tplc="91ACD9A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526"/>
    <w:rsid w:val="000555F0"/>
    <w:rsid w:val="001902F4"/>
    <w:rsid w:val="00194D30"/>
    <w:rsid w:val="003107D6"/>
    <w:rsid w:val="0031782C"/>
    <w:rsid w:val="00373F87"/>
    <w:rsid w:val="00385C8A"/>
    <w:rsid w:val="003922DA"/>
    <w:rsid w:val="003C3F2C"/>
    <w:rsid w:val="003E1F68"/>
    <w:rsid w:val="004A29CD"/>
    <w:rsid w:val="004D7A52"/>
    <w:rsid w:val="00597E10"/>
    <w:rsid w:val="00641F40"/>
    <w:rsid w:val="006477AE"/>
    <w:rsid w:val="006E320A"/>
    <w:rsid w:val="006E7418"/>
    <w:rsid w:val="007C24E1"/>
    <w:rsid w:val="00832488"/>
    <w:rsid w:val="008D3482"/>
    <w:rsid w:val="008F44AD"/>
    <w:rsid w:val="009E2B52"/>
    <w:rsid w:val="00A81172"/>
    <w:rsid w:val="00A81E9E"/>
    <w:rsid w:val="00AB47AD"/>
    <w:rsid w:val="00AE4B7C"/>
    <w:rsid w:val="00B20D45"/>
    <w:rsid w:val="00B90118"/>
    <w:rsid w:val="00BD4071"/>
    <w:rsid w:val="00C04804"/>
    <w:rsid w:val="00C626F7"/>
    <w:rsid w:val="00CC32DF"/>
    <w:rsid w:val="00D12FB2"/>
    <w:rsid w:val="00DF3004"/>
    <w:rsid w:val="00EA3526"/>
    <w:rsid w:val="00EB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A3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A3526"/>
  </w:style>
  <w:style w:type="character" w:styleId="a5">
    <w:name w:val="Placeholder Text"/>
    <w:basedOn w:val="a0"/>
    <w:uiPriority w:val="99"/>
    <w:semiHidden/>
    <w:rsid w:val="00EA3526"/>
    <w:rPr>
      <w:color w:val="808080"/>
    </w:rPr>
  </w:style>
  <w:style w:type="table" w:customStyle="1" w:styleId="1">
    <w:name w:val="Сетка таблицы1"/>
    <w:basedOn w:val="a1"/>
    <w:next w:val="a6"/>
    <w:uiPriority w:val="59"/>
    <w:rsid w:val="00373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373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E320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12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2F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A3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A3526"/>
  </w:style>
  <w:style w:type="character" w:styleId="a5">
    <w:name w:val="Placeholder Text"/>
    <w:basedOn w:val="a0"/>
    <w:uiPriority w:val="99"/>
    <w:semiHidden/>
    <w:rsid w:val="00EA3526"/>
    <w:rPr>
      <w:color w:val="808080"/>
    </w:rPr>
  </w:style>
  <w:style w:type="table" w:customStyle="1" w:styleId="1">
    <w:name w:val="Сетка таблицы1"/>
    <w:basedOn w:val="a1"/>
    <w:next w:val="a6"/>
    <w:uiPriority w:val="59"/>
    <w:rsid w:val="00373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373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E320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12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2F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10</Pages>
  <Words>3327</Words>
  <Characters>18966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Nageconom</dc:creator>
  <cp:keywords/>
  <dc:description/>
  <cp:lastModifiedBy>user</cp:lastModifiedBy>
  <cp:revision>19</cp:revision>
  <cp:lastPrinted>2025-04-29T09:24:00Z</cp:lastPrinted>
  <dcterms:created xsi:type="dcterms:W3CDTF">2025-04-16T12:14:00Z</dcterms:created>
  <dcterms:modified xsi:type="dcterms:W3CDTF">2025-04-29T09:25:00Z</dcterms:modified>
</cp:coreProperties>
</file>